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67" w:rsidRPr="00BB5F59" w:rsidRDefault="00387A67">
      <w:pPr>
        <w:rPr>
          <w:rFonts w:cs="Times New Roman"/>
          <w:color w:val="000000"/>
        </w:rPr>
      </w:pPr>
      <w:bookmarkStart w:id="0" w:name="_GoBack"/>
      <w:bookmarkEnd w:id="0"/>
    </w:p>
    <w:p w:rsidR="00E4683F" w:rsidRDefault="00211DEA" w:rsidP="00E4683F">
      <w:pPr>
        <w:rPr>
          <w:rFonts w:cs="Times New Roman"/>
          <w:sz w:val="56"/>
          <w:szCs w:val="56"/>
          <w:lang w:val="cs-CZ"/>
        </w:rPr>
      </w:pPr>
      <w:r>
        <w:rPr>
          <w:rFonts w:cs="Times New Roman"/>
          <w:sz w:val="56"/>
          <w:szCs w:val="56"/>
          <w:lang w:val="cs-CZ"/>
        </w:rPr>
        <w:t>Technické plyny</w:t>
      </w:r>
    </w:p>
    <w:p w:rsidR="00211DEA" w:rsidRPr="00E4683F" w:rsidRDefault="00211DEA" w:rsidP="00E4683F">
      <w:pPr>
        <w:rPr>
          <w:rFonts w:cs="Times New Roman"/>
          <w:sz w:val="56"/>
          <w:szCs w:val="56"/>
          <w:lang w:val="cs-CZ"/>
        </w:rPr>
      </w:pPr>
      <w:r w:rsidRPr="00211DEA">
        <w:rPr>
          <w:rFonts w:cs="Times New Roman"/>
          <w:noProof/>
          <w:color w:val="000000"/>
        </w:rPr>
        <w:t>Ať už zní název kapitoly jakkoliv, negastronomicky tak představuje velkou skupinu molekulární</w:t>
      </w:r>
      <w:r>
        <w:rPr>
          <w:rFonts w:cs="Times New Roman"/>
          <w:noProof/>
          <w:color w:val="000000"/>
        </w:rPr>
        <w:t>ch</w:t>
      </w:r>
      <w:r w:rsidRPr="00211DEA">
        <w:rPr>
          <w:rFonts w:cs="Times New Roman"/>
          <w:noProof/>
          <w:color w:val="000000"/>
        </w:rPr>
        <w:t xml:space="preserve"> technik</w:t>
      </w:r>
      <w:r>
        <w:rPr>
          <w:rFonts w:cs="Times New Roman"/>
          <w:noProof/>
          <w:color w:val="000000"/>
        </w:rPr>
        <w:t xml:space="preserve"> </w:t>
      </w:r>
      <w:r w:rsidRPr="00211DEA">
        <w:rPr>
          <w:rFonts w:cs="Times New Roman"/>
          <w:noProof/>
          <w:color w:val="000000"/>
        </w:rPr>
        <w:t>a receptů. Technické plyny rozumějme tekutý dusík nebo pevná forma oxidu uhličitého (dále suchý led).</w:t>
      </w:r>
    </w:p>
    <w:p w:rsidR="00211DEA" w:rsidRPr="00211DEA" w:rsidRDefault="00211DEA" w:rsidP="00211DEA">
      <w:pPr>
        <w:jc w:val="both"/>
        <w:rPr>
          <w:rFonts w:cs="Times New Roman"/>
          <w:noProof/>
          <w:color w:val="000000"/>
        </w:rPr>
      </w:pPr>
      <w:r w:rsidRPr="00211DEA">
        <w:rPr>
          <w:rFonts w:cs="Times New Roman"/>
          <w:noProof/>
          <w:color w:val="000000"/>
        </w:rPr>
        <w:t>Jsou jedny z nejefektnějších prostředků používaných v molekulární gastronomii. Používají se k rychlému mražení, k výrobě zmrzlin ze surovin mrznoucích při nižších teplotách a také k výrobě plněných čokolád. Můžeme také podávat drinky nebo jídlo v mražených kuličkách, tabletách, kostičkách, pěně a podobně. A v neposlední řadě je jejich velmi nízká teplota při rychlém zahřátí strůjcem zajímavých kouřových nebo bublinových efektů.</w:t>
      </w:r>
    </w:p>
    <w:p w:rsidR="00211DEA" w:rsidRPr="00211DEA" w:rsidRDefault="00211DEA" w:rsidP="00211DEA">
      <w:pPr>
        <w:jc w:val="both"/>
        <w:rPr>
          <w:rFonts w:cs="Times New Roman"/>
          <w:noProof/>
          <w:color w:val="000000"/>
        </w:rPr>
      </w:pPr>
      <w:r w:rsidRPr="00211DEA">
        <w:rPr>
          <w:rFonts w:cs="Times New Roman"/>
          <w:noProof/>
          <w:color w:val="000000"/>
        </w:rPr>
        <w:t xml:space="preserve">Práce s dusíkem a se suchým ledem je podobná a využívá podobných efektů. Dusík je jen chladnější a tak veškeré postupy a reakce jsou rychlejší. Což má ale i za následek, že je práce s dusíkem složitější a je potřeba větší opatrnosti. </w:t>
      </w:r>
    </w:p>
    <w:p w:rsidR="00211DEA" w:rsidRPr="00211DEA" w:rsidRDefault="00211DEA" w:rsidP="00211DEA">
      <w:pPr>
        <w:jc w:val="both"/>
        <w:rPr>
          <w:rFonts w:cs="Times New Roman"/>
          <w:noProof/>
          <w:color w:val="000000"/>
        </w:rPr>
      </w:pPr>
      <w:r w:rsidRPr="00211DEA">
        <w:rPr>
          <w:rFonts w:cs="Times New Roman"/>
          <w:b/>
          <w:noProof/>
          <w:color w:val="000000"/>
        </w:rPr>
        <w:t>DUSÍK</w:t>
      </w:r>
      <w:r w:rsidRPr="00211DEA">
        <w:rPr>
          <w:rFonts w:cs="Times New Roman"/>
          <w:noProof/>
          <w:color w:val="000000"/>
        </w:rPr>
        <w:t xml:space="preserve"> je </w:t>
      </w:r>
      <w:hyperlink r:id="rId5" w:tooltip="Plyn" w:history="1">
        <w:r w:rsidRPr="00211DEA">
          <w:rPr>
            <w:rFonts w:cs="Times New Roman"/>
            <w:noProof/>
            <w:color w:val="000000"/>
          </w:rPr>
          <w:t>plynný</w:t>
        </w:r>
      </w:hyperlink>
      <w:r w:rsidRPr="00211DEA">
        <w:rPr>
          <w:rFonts w:cs="Times New Roman"/>
          <w:noProof/>
          <w:color w:val="000000"/>
        </w:rPr>
        <w:t> </w:t>
      </w:r>
      <w:hyperlink r:id="rId6" w:history="1">
        <w:r w:rsidRPr="00211DEA">
          <w:rPr>
            <w:rFonts w:cs="Times New Roman"/>
            <w:noProof/>
            <w:color w:val="000000"/>
          </w:rPr>
          <w:t>chemický prvek</w:t>
        </w:r>
      </w:hyperlink>
      <w:r w:rsidRPr="00211DEA">
        <w:rPr>
          <w:rFonts w:cs="Times New Roman"/>
          <w:noProof/>
          <w:color w:val="000000"/>
        </w:rPr>
        <w:t>, tvořící hlavní složku </w:t>
      </w:r>
      <w:hyperlink r:id="rId7" w:tooltip="Země" w:history="1">
        <w:r w:rsidRPr="00211DEA">
          <w:rPr>
            <w:rFonts w:cs="Times New Roman"/>
            <w:noProof/>
            <w:color w:val="000000"/>
          </w:rPr>
          <w:t>zemské</w:t>
        </w:r>
      </w:hyperlink>
      <w:r w:rsidRPr="00211DEA">
        <w:rPr>
          <w:rFonts w:cs="Times New Roman"/>
          <w:noProof/>
          <w:color w:val="000000"/>
        </w:rPr>
        <w:t> </w:t>
      </w:r>
      <w:hyperlink r:id="rId8" w:tooltip="Atmosféra" w:history="1">
        <w:r w:rsidRPr="00211DEA">
          <w:rPr>
            <w:rFonts w:cs="Times New Roman"/>
            <w:noProof/>
            <w:color w:val="000000"/>
          </w:rPr>
          <w:t>atmosféry</w:t>
        </w:r>
      </w:hyperlink>
      <w:r w:rsidRPr="00211DEA">
        <w:rPr>
          <w:rFonts w:cs="Times New Roman"/>
          <w:noProof/>
          <w:color w:val="000000"/>
        </w:rPr>
        <w:t>. Patří mezi </w:t>
      </w:r>
      <w:hyperlink r:id="rId9" w:history="1">
        <w:r w:rsidRPr="00211DEA">
          <w:rPr>
            <w:rFonts w:cs="Times New Roman"/>
            <w:noProof/>
            <w:color w:val="000000"/>
          </w:rPr>
          <w:t>biogenní prvky</w:t>
        </w:r>
      </w:hyperlink>
      <w:r w:rsidRPr="00211DEA">
        <w:rPr>
          <w:rFonts w:cs="Times New Roman"/>
          <w:noProof/>
          <w:color w:val="000000"/>
        </w:rPr>
        <w:t>, které jsou základními stavebními kameny živé hmoty. Dusík je </w:t>
      </w:r>
      <w:hyperlink r:id="rId10" w:history="1">
        <w:r w:rsidRPr="00211DEA">
          <w:rPr>
            <w:rFonts w:cs="Times New Roman"/>
            <w:noProof/>
            <w:color w:val="000000"/>
          </w:rPr>
          <w:t>plyn</w:t>
        </w:r>
      </w:hyperlink>
      <w:r w:rsidRPr="00211DEA">
        <w:rPr>
          <w:rFonts w:cs="Times New Roman"/>
          <w:noProof/>
          <w:color w:val="000000"/>
        </w:rPr>
        <w:t> bez </w:t>
      </w:r>
      <w:hyperlink r:id="rId11" w:tooltip="Barva" w:history="1">
        <w:r w:rsidRPr="00211DEA">
          <w:rPr>
            <w:rFonts w:cs="Times New Roman"/>
            <w:noProof/>
            <w:color w:val="000000"/>
          </w:rPr>
          <w:t>barvy</w:t>
        </w:r>
      </w:hyperlink>
      <w:r w:rsidRPr="00211DEA">
        <w:rPr>
          <w:rFonts w:cs="Times New Roman"/>
          <w:noProof/>
          <w:color w:val="000000"/>
        </w:rPr>
        <w:t>, chuti a zápachu. Není </w:t>
      </w:r>
      <w:hyperlink r:id="rId12" w:tooltip="Jed" w:history="1">
        <w:r w:rsidRPr="00211DEA">
          <w:rPr>
            <w:rFonts w:cs="Times New Roman"/>
            <w:noProof/>
            <w:color w:val="000000"/>
          </w:rPr>
          <w:t>toxický</w:t>
        </w:r>
      </w:hyperlink>
      <w:r w:rsidRPr="00211DEA">
        <w:rPr>
          <w:rFonts w:cs="Times New Roman"/>
          <w:noProof/>
          <w:color w:val="000000"/>
        </w:rPr>
        <w:t> ani jinak nebezpečný.</w:t>
      </w:r>
    </w:p>
    <w:p w:rsidR="00211DEA" w:rsidRPr="00211DEA" w:rsidRDefault="00E21ED5" w:rsidP="00211DEA">
      <w:pPr>
        <w:jc w:val="both"/>
        <w:rPr>
          <w:rFonts w:cs="Times New Roman"/>
          <w:noProof/>
          <w:color w:val="000000"/>
        </w:rPr>
      </w:pPr>
      <w:r w:rsidRPr="00211DEA">
        <w:rPr>
          <w:rFonts w:cs="Times New Roman"/>
          <w:b/>
          <w:noProof/>
          <w:color w:val="000000"/>
        </w:rPr>
        <w:t xml:space="preserve">KAPALNÝ DUSÍK </w:t>
      </w:r>
      <w:r w:rsidR="00211DEA" w:rsidRPr="00211DEA">
        <w:rPr>
          <w:rFonts w:cs="Times New Roman"/>
          <w:noProof/>
          <w:color w:val="000000"/>
        </w:rPr>
        <w:t xml:space="preserve">- tekutý dusík se vaří v minus </w:t>
      </w:r>
      <w:smartTag w:uri="urn:schemas-microsoft-com:office:smarttags" w:element="metricconverter">
        <w:smartTagPr>
          <w:attr w:name="ProductID" w:val="195,8 ﾰC"/>
        </w:smartTagPr>
        <w:r w:rsidR="00211DEA" w:rsidRPr="00211DEA">
          <w:rPr>
            <w:rFonts w:cs="Times New Roman"/>
            <w:noProof/>
            <w:color w:val="000000"/>
          </w:rPr>
          <w:t>195,8 °C</w:t>
        </w:r>
      </w:smartTag>
      <w:r w:rsidR="00211DEA" w:rsidRPr="00211DEA">
        <w:rPr>
          <w:rFonts w:cs="Times New Roman"/>
          <w:noProof/>
          <w:color w:val="000000"/>
        </w:rPr>
        <w:t xml:space="preserve"> a používá se na výrobu zmrzlin, sorbetů a nebo ovocných mražených fondue, kdy si hosté sami namáčejí ovoce střídavě do omáček a tekutého dusíku.</w:t>
      </w:r>
    </w:p>
    <w:p w:rsidR="00211DEA" w:rsidRPr="00211DEA" w:rsidRDefault="00211DEA" w:rsidP="00211DEA">
      <w:pPr>
        <w:spacing w:after="0"/>
        <w:rPr>
          <w:rFonts w:cs="Times New Roman"/>
          <w:b/>
          <w:color w:val="000000"/>
          <w:lang w:eastAsia="cs-CZ"/>
        </w:rPr>
      </w:pPr>
      <w:r w:rsidRPr="00211DEA">
        <w:rPr>
          <w:rFonts w:cs="Times New Roman"/>
          <w:b/>
          <w:color w:val="000000"/>
          <w:lang w:eastAsia="cs-CZ"/>
        </w:rPr>
        <w:t>DŮLEŽITÉ UPOZORNĚNÍ:</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 xml:space="preserve">Tekutý dusík má bod varu – </w:t>
      </w:r>
      <w:smartTag w:uri="urn:schemas-microsoft-com:office:smarttags" w:element="metricconverter">
        <w:smartTagPr>
          <w:attr w:name="ProductID" w:val="196ﾰC"/>
        </w:smartTagPr>
        <w:r w:rsidRPr="00211DEA">
          <w:rPr>
            <w:rFonts w:eastAsia="Calibri-Bold" w:cs="Times New Roman"/>
            <w:color w:val="000000"/>
            <w:lang w:val="cs-CZ"/>
          </w:rPr>
          <w:t>196°C</w:t>
        </w:r>
      </w:smartTag>
      <w:r w:rsidRPr="00211DEA">
        <w:rPr>
          <w:rFonts w:eastAsia="Calibri-Bold" w:cs="Times New Roman"/>
          <w:color w:val="000000"/>
          <w:lang w:val="cs-CZ"/>
        </w:rPr>
        <w:t xml:space="preserve"> hrozí tedy popáleniny.</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Pracujte vždy v ochranných pomůckách (rukavice, brýle).</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Neskladujte v uzavřených nádobách, hrozí imploze.</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K přímé konzumaci není vhodný.</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V případě požití může být nebezpečná nízká teplota nebo vznikající tlak. V obou případech neprodleně vyhledejte lékaře!</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S tekutým dusíkem nesmějí manipulovat děti a mladiství do 16 let.</w:t>
      </w:r>
    </w:p>
    <w:p w:rsidR="00211DEA" w:rsidRPr="00211DEA" w:rsidRDefault="00211DEA" w:rsidP="00211DEA">
      <w:pPr>
        <w:jc w:val="both"/>
        <w:rPr>
          <w:rFonts w:cs="Times New Roman"/>
          <w:noProof/>
          <w:color w:val="000000"/>
        </w:rPr>
      </w:pPr>
      <w:r w:rsidRPr="00211DEA">
        <w:rPr>
          <w:rFonts w:cs="Times New Roman"/>
          <w:b/>
          <w:noProof/>
          <w:color w:val="000000"/>
        </w:rPr>
        <w:t>OXID UHLIČITÝ</w:t>
      </w:r>
      <w:r w:rsidRPr="00211DEA">
        <w:rPr>
          <w:rFonts w:cs="Times New Roman"/>
          <w:noProof/>
          <w:color w:val="000000"/>
        </w:rPr>
        <w:t xml:space="preserve"> je bezbarvý </w:t>
      </w:r>
      <w:hyperlink r:id="rId13" w:history="1">
        <w:r w:rsidRPr="00211DEA">
          <w:rPr>
            <w:rFonts w:cs="Times New Roman"/>
            <w:noProof/>
            <w:color w:val="000000"/>
          </w:rPr>
          <w:t>plyn</w:t>
        </w:r>
      </w:hyperlink>
      <w:r w:rsidRPr="00211DEA">
        <w:rPr>
          <w:rFonts w:cs="Times New Roman"/>
          <w:noProof/>
          <w:color w:val="000000"/>
        </w:rPr>
        <w:t> bez chuti a zápachu; při vyšších koncentracích může v ústech mít slabě nakyslou chuť. Je </w:t>
      </w:r>
      <w:hyperlink r:id="rId14" w:tooltip="Hustota" w:history="1">
        <w:r w:rsidRPr="00211DEA">
          <w:rPr>
            <w:rFonts w:cs="Times New Roman"/>
            <w:noProof/>
            <w:color w:val="000000"/>
          </w:rPr>
          <w:t>těžší</w:t>
        </w:r>
      </w:hyperlink>
      <w:r w:rsidRPr="00211DEA">
        <w:rPr>
          <w:rFonts w:cs="Times New Roman"/>
          <w:noProof/>
          <w:color w:val="000000"/>
        </w:rPr>
        <w:t xml:space="preserve"> než vzduch. Při ochlazení pod </w:t>
      </w:r>
      <w:smartTag w:uri="urn:schemas-microsoft-com:office:smarttags" w:element="metricconverter">
        <w:smartTagPr>
          <w:attr w:name="ProductID" w:val="-80ﾠﾰC"/>
        </w:smartTagPr>
        <w:r w:rsidRPr="00211DEA">
          <w:rPr>
            <w:rFonts w:cs="Times New Roman"/>
            <w:noProof/>
            <w:color w:val="000000"/>
          </w:rPr>
          <w:t>-80 °C</w:t>
        </w:r>
      </w:smartTag>
      <w:r w:rsidRPr="00211DEA">
        <w:rPr>
          <w:rFonts w:cs="Times New Roman"/>
          <w:noProof/>
          <w:color w:val="000000"/>
        </w:rPr>
        <w:t xml:space="preserve"> mění plynný oxid </w:t>
      </w:r>
      <w:r w:rsidRPr="00211DEA">
        <w:rPr>
          <w:rFonts w:cs="Times New Roman"/>
          <w:noProof/>
          <w:color w:val="000000"/>
        </w:rPr>
        <w:lastRenderedPageBreak/>
        <w:t>uhličitý svoje </w:t>
      </w:r>
      <w:hyperlink r:id="rId15" w:history="1">
        <w:r w:rsidRPr="00211DEA">
          <w:rPr>
            <w:rFonts w:cs="Times New Roman"/>
            <w:noProof/>
            <w:color w:val="000000"/>
          </w:rPr>
          <w:t>skupenství</w:t>
        </w:r>
      </w:hyperlink>
      <w:r w:rsidRPr="00211DEA">
        <w:rPr>
          <w:rFonts w:cs="Times New Roman"/>
          <w:noProof/>
          <w:color w:val="000000"/>
        </w:rPr>
        <w:t> přímo na pevné (</w:t>
      </w:r>
      <w:hyperlink r:id="rId16" w:tooltip="Sublimace" w:history="1">
        <w:r w:rsidRPr="00211DEA">
          <w:rPr>
            <w:rFonts w:cs="Times New Roman"/>
            <w:noProof/>
            <w:color w:val="000000"/>
          </w:rPr>
          <w:t>desublimuje</w:t>
        </w:r>
      </w:hyperlink>
      <w:r w:rsidRPr="00211DEA">
        <w:rPr>
          <w:rFonts w:cs="Times New Roman"/>
          <w:noProof/>
          <w:color w:val="000000"/>
        </w:rPr>
        <w:t>) za vzniku bezbarvé tuhé látky, nazývané: </w:t>
      </w:r>
    </w:p>
    <w:p w:rsidR="00211DEA" w:rsidRPr="00211DEA" w:rsidRDefault="00562BAE" w:rsidP="00211DEA">
      <w:pPr>
        <w:jc w:val="both"/>
        <w:rPr>
          <w:rFonts w:cs="Times New Roman"/>
          <w:noProof/>
          <w:color w:val="000000"/>
        </w:rPr>
      </w:pPr>
      <w:r>
        <w:rPr>
          <w:noProof/>
          <w:lang w:val="cs-CZ" w:eastAsia="cs-CZ" w:bidi="ar-SA"/>
        </w:rPr>
        <w:drawing>
          <wp:anchor distT="0" distB="0" distL="114300" distR="114300" simplePos="0" relativeHeight="251659264" behindDoc="1" locked="0" layoutInCell="1" allowOverlap="1">
            <wp:simplePos x="0" y="0"/>
            <wp:positionH relativeFrom="column">
              <wp:posOffset>3098165</wp:posOffset>
            </wp:positionH>
            <wp:positionV relativeFrom="paragraph">
              <wp:posOffset>-448310</wp:posOffset>
            </wp:positionV>
            <wp:extent cx="2828290" cy="2115820"/>
            <wp:effectExtent l="0" t="0" r="0" b="0"/>
            <wp:wrapTight wrapText="bothSides">
              <wp:wrapPolygon edited="0">
                <wp:start x="0" y="0"/>
                <wp:lineTo x="0" y="21393"/>
                <wp:lineTo x="21387" y="21393"/>
                <wp:lineTo x="21387" y="0"/>
                <wp:lineTo x="0" y="0"/>
              </wp:wrapPolygon>
            </wp:wrapTight>
            <wp:docPr id="11" name="obrázek 11" descr="_4309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43098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8290"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A" w:rsidRPr="00211DEA">
        <w:rPr>
          <w:rFonts w:cs="Times New Roman"/>
          <w:b/>
          <w:noProof/>
          <w:color w:val="000000"/>
        </w:rPr>
        <w:t>SUCHÝ LED</w:t>
      </w:r>
      <w:r w:rsidR="00211DEA" w:rsidRPr="00211DEA">
        <w:rPr>
          <w:rFonts w:cs="Times New Roman"/>
          <w:noProof/>
          <w:color w:val="000000"/>
        </w:rPr>
        <w:t xml:space="preserve"> je oxid uhličitý (CO2) v pevném skupenství. Sublimuje beze zbytku z pevného skupenství přímo do plynné formy.</w:t>
      </w:r>
    </w:p>
    <w:p w:rsidR="00211DEA" w:rsidRPr="00211DEA" w:rsidRDefault="00211DEA" w:rsidP="00211DEA">
      <w:pPr>
        <w:jc w:val="both"/>
        <w:rPr>
          <w:rFonts w:cs="Times New Roman"/>
          <w:color w:val="000000"/>
        </w:rPr>
      </w:pPr>
      <w:r w:rsidRPr="00211DEA">
        <w:rPr>
          <w:rFonts w:cs="Times New Roman"/>
          <w:noProof/>
          <w:color w:val="000000"/>
        </w:rPr>
        <w:t xml:space="preserve">Dodává se ve tvarech: peletky, granule, bloky. </w:t>
      </w:r>
      <w:r w:rsidRPr="00211DEA">
        <w:rPr>
          <w:rFonts w:cs="Times New Roman"/>
          <w:color w:val="000000"/>
        </w:rPr>
        <w:t xml:space="preserve">                                                                                 </w:t>
      </w:r>
    </w:p>
    <w:p w:rsidR="00211DEA" w:rsidRPr="00211DEA" w:rsidRDefault="00211DEA" w:rsidP="00211DEA">
      <w:pPr>
        <w:pStyle w:val="Normlnweb"/>
        <w:spacing w:before="96" w:beforeAutospacing="0" w:after="0" w:afterAutospacing="0" w:line="360" w:lineRule="atLeast"/>
        <w:rPr>
          <w:rFonts w:cs="Times New Roman"/>
          <w:color w:val="000000"/>
        </w:rPr>
      </w:pPr>
      <w:r w:rsidRPr="00211DEA">
        <w:rPr>
          <w:rFonts w:cs="Times New Roman"/>
          <w:b/>
          <w:color w:val="000000"/>
        </w:rPr>
        <w:t>DŮLEŽITÉ UPOZORNĚNÍ:</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Oxid uhličitý je nedýchatelný a ve vyšších koncentracích může způsobit ztrátu vědomí a smrt. Proto nikdy neskladujte ve špatně větraných prostorech, například ve sklepě.</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Suchý led skladujte nebo používejte jen v dobře větraných prostorech.</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K přímé konzumaci je nevhodný.</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 xml:space="preserve"> V případě zasažení pokožky nebo očí oplachujte okamžitě minimálně 15 </w:t>
      </w:r>
      <w:r w:rsidR="00E4683F">
        <w:rPr>
          <w:rFonts w:eastAsia="Calibri-Bold" w:cs="Times New Roman"/>
          <w:color w:val="000000"/>
          <w:lang w:val="cs-CZ"/>
        </w:rPr>
        <w:t xml:space="preserve">minut vlažnou </w:t>
      </w:r>
      <w:r w:rsidRPr="00211DEA">
        <w:rPr>
          <w:rFonts w:eastAsia="Calibri-Bold" w:cs="Times New Roman"/>
          <w:color w:val="000000"/>
          <w:lang w:val="cs-CZ"/>
        </w:rPr>
        <w:t>vodou.</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 xml:space="preserve"> V případě požití může být nebezpečná nízká teplota nebo vznikající tlak suchého ledu. V obou případech neprodleně vyhledejte lékaře!</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 xml:space="preserve"> Suchý led má teplotu </w:t>
      </w:r>
      <w:smartTag w:uri="urn:schemas-microsoft-com:office:smarttags" w:element="metricconverter">
        <w:smartTagPr>
          <w:attr w:name="ProductID" w:val="-79 ﾰC"/>
        </w:smartTagPr>
        <w:r w:rsidRPr="00211DEA">
          <w:rPr>
            <w:rFonts w:eastAsia="Calibri-Bold" w:cs="Times New Roman"/>
            <w:color w:val="000000"/>
            <w:lang w:val="cs-CZ"/>
          </w:rPr>
          <w:t>-79 °C</w:t>
        </w:r>
      </w:smartTag>
      <w:r w:rsidRPr="00211DEA">
        <w:rPr>
          <w:rFonts w:eastAsia="Calibri-Bold" w:cs="Times New Roman"/>
          <w:color w:val="000000"/>
          <w:lang w:val="cs-CZ"/>
        </w:rPr>
        <w:t>. Přímý kontakt s nechráněnou pokožkou může způsobit vážné popáleniny.</w:t>
      </w:r>
    </w:p>
    <w:p w:rsidR="00211DEA" w:rsidRPr="00211DEA" w:rsidRDefault="00562BAE" w:rsidP="00211DEA">
      <w:pPr>
        <w:numPr>
          <w:ilvl w:val="0"/>
          <w:numId w:val="2"/>
        </w:numPr>
        <w:jc w:val="both"/>
        <w:rPr>
          <w:rFonts w:eastAsia="Calibri-Bold" w:cs="Times New Roman"/>
          <w:color w:val="000000"/>
          <w:lang w:val="cs-CZ"/>
        </w:rPr>
      </w:pPr>
      <w:r>
        <w:rPr>
          <w:noProof/>
          <w:lang w:val="cs-CZ" w:eastAsia="cs-CZ" w:bidi="ar-SA"/>
        </w:rPr>
        <w:lastRenderedPageBreak/>
        <w:drawing>
          <wp:anchor distT="0" distB="0" distL="114300" distR="114300" simplePos="0" relativeHeight="251656192" behindDoc="1" locked="0" layoutInCell="1" allowOverlap="1">
            <wp:simplePos x="0" y="0"/>
            <wp:positionH relativeFrom="column">
              <wp:posOffset>3311525</wp:posOffset>
            </wp:positionH>
            <wp:positionV relativeFrom="paragraph">
              <wp:posOffset>168910</wp:posOffset>
            </wp:positionV>
            <wp:extent cx="2785745" cy="3721100"/>
            <wp:effectExtent l="0" t="0" r="0" b="0"/>
            <wp:wrapTight wrapText="bothSides">
              <wp:wrapPolygon edited="0">
                <wp:start x="0" y="0"/>
                <wp:lineTo x="0" y="21453"/>
                <wp:lineTo x="21418" y="21453"/>
                <wp:lineTo x="21418" y="0"/>
                <wp:lineTo x="0" y="0"/>
              </wp:wrapPolygon>
            </wp:wrapTight>
            <wp:docPr id="8" name="obrázek 8" descr="bouřlivá sublimace suchého ledu - kou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uřlivá sublimace suchého ledu - kou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5745" cy="372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A" w:rsidRPr="00211DEA">
        <w:rPr>
          <w:rFonts w:eastAsia="Calibri-Bold" w:cs="Times New Roman"/>
          <w:color w:val="000000"/>
          <w:lang w:val="cs-CZ"/>
        </w:rPr>
        <w:t xml:space="preserve"> Nabírejte vždy kleštěmi na suchý led nebo ochrannými rukavicemi!</w:t>
      </w:r>
    </w:p>
    <w:p w:rsidR="00211DEA" w:rsidRPr="00211DEA" w:rsidRDefault="00211DEA" w:rsidP="00211DEA">
      <w:pPr>
        <w:pStyle w:val="Nadpis1"/>
        <w:keepLines w:val="0"/>
        <w:tabs>
          <w:tab w:val="left" w:pos="964"/>
        </w:tabs>
        <w:spacing w:before="120" w:after="120"/>
        <w:rPr>
          <w:rFonts w:ascii="Times New Roman" w:hAnsi="Times New Roman"/>
          <w:color w:val="000000"/>
          <w:sz w:val="24"/>
          <w:szCs w:val="24"/>
          <w:lang w:val="cs-CZ"/>
        </w:rPr>
      </w:pPr>
      <w:bookmarkStart w:id="1" w:name="_Toc293385124"/>
      <w:r w:rsidRPr="00211DEA">
        <w:rPr>
          <w:rFonts w:ascii="Times New Roman" w:hAnsi="Times New Roman"/>
          <w:color w:val="000000"/>
          <w:sz w:val="24"/>
          <w:szCs w:val="24"/>
          <w:lang w:val="cs-CZ"/>
        </w:rPr>
        <w:t>KOUŘE</w:t>
      </w:r>
      <w:bookmarkEnd w:id="1"/>
      <w:r w:rsidRPr="00211DEA">
        <w:rPr>
          <w:rFonts w:ascii="Times New Roman" w:hAnsi="Times New Roman"/>
          <w:color w:val="000000"/>
          <w:sz w:val="24"/>
          <w:szCs w:val="24"/>
          <w:lang w:val="cs-CZ"/>
        </w:rPr>
        <w:t xml:space="preserve"> </w:t>
      </w:r>
    </w:p>
    <w:p w:rsidR="00211DEA" w:rsidRPr="00211DEA" w:rsidRDefault="00211DEA" w:rsidP="00211DEA">
      <w:pPr>
        <w:jc w:val="both"/>
        <w:rPr>
          <w:rFonts w:cs="Times New Roman"/>
          <w:noProof/>
          <w:color w:val="000000"/>
        </w:rPr>
      </w:pPr>
      <w:r w:rsidRPr="00211DEA">
        <w:rPr>
          <w:rFonts w:cs="Times New Roman"/>
          <w:noProof/>
          <w:color w:val="000000"/>
        </w:rPr>
        <w:t>Kouř a kouřící drinky je technika, která využívá okamžitou sublimaci suchého ledu z pevné látky na plyn. Vlastně veškeré produkty, i zmražené, používané v baru jsou daleko teplejší než suchý led (</w:t>
      </w:r>
      <w:smartTag w:uri="urn:schemas-microsoft-com:office:smarttags" w:element="metricconverter">
        <w:smartTagPr>
          <w:attr w:name="ProductID" w:val="-79ﾰC"/>
        </w:smartTagPr>
        <w:r w:rsidRPr="00211DEA">
          <w:rPr>
            <w:rFonts w:cs="Times New Roman"/>
            <w:noProof/>
            <w:color w:val="000000"/>
          </w:rPr>
          <w:t>-79°C</w:t>
        </w:r>
      </w:smartTag>
      <w:r w:rsidRPr="00211DEA">
        <w:rPr>
          <w:rFonts w:cs="Times New Roman"/>
          <w:noProof/>
          <w:color w:val="000000"/>
        </w:rPr>
        <w:t>). Při jejich vzájemném styku dochází k bouřlivé sublimaci  - zplynění suchého ledu v krásných kouřových efektech. Pro přidávání do drinků se používají poháry Space cups, do kterých se na dno přichytí zásobník se suchým ledem, nebo Magic cube, což jsou malé zásobníčky na suchý led ve velikosti a tvaru kostky ledu. Takto připravený drink probublává a bíle kouří. Při dodržení všech bezpečnostních předpisů lze do drinku dát suchý led jen pod led. Zákazník, by ale měl z bezpečnostních důvodů počkat na konec sublimace.</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Nejlépe efekt vynikne v čirých drincích.</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Pokud použijete čajový servis k servisu drinku se suchým ledem, tak kouřící čajová konvička evokuje spíše teplý drink, což opět hosta překvapí.</w:t>
      </w:r>
    </w:p>
    <w:p w:rsidR="00211DEA" w:rsidRPr="00211DEA" w:rsidRDefault="00211DEA" w:rsidP="00211DEA">
      <w:pPr>
        <w:pStyle w:val="Nadpis1"/>
        <w:keepLines w:val="0"/>
        <w:tabs>
          <w:tab w:val="left" w:pos="964"/>
        </w:tabs>
        <w:spacing w:before="120" w:after="120"/>
        <w:rPr>
          <w:rFonts w:ascii="Times New Roman" w:hAnsi="Times New Roman"/>
          <w:color w:val="000000"/>
          <w:sz w:val="24"/>
          <w:szCs w:val="24"/>
          <w:lang w:val="cs-CZ"/>
        </w:rPr>
      </w:pPr>
      <w:bookmarkStart w:id="2" w:name="_Toc293385125"/>
      <w:r w:rsidRPr="00211DEA">
        <w:rPr>
          <w:rFonts w:ascii="Times New Roman" w:hAnsi="Times New Roman"/>
          <w:color w:val="000000"/>
          <w:sz w:val="24"/>
          <w:szCs w:val="24"/>
          <w:lang w:val="cs-CZ"/>
        </w:rPr>
        <w:t>BUBLINY</w:t>
      </w:r>
      <w:bookmarkEnd w:id="2"/>
    </w:p>
    <w:p w:rsidR="00211DEA" w:rsidRPr="00211DEA" w:rsidRDefault="00562BAE" w:rsidP="00211DEA">
      <w:pPr>
        <w:jc w:val="both"/>
        <w:rPr>
          <w:rFonts w:cs="Times New Roman"/>
          <w:noProof/>
          <w:color w:val="000000"/>
        </w:rPr>
      </w:pPr>
      <w:r>
        <w:rPr>
          <w:noProof/>
          <w:lang w:val="cs-CZ" w:eastAsia="cs-CZ" w:bidi="ar-SA"/>
        </w:rPr>
        <w:drawing>
          <wp:anchor distT="0" distB="0" distL="114300" distR="114300" simplePos="0" relativeHeight="251658240" behindDoc="1" locked="0" layoutInCell="1" allowOverlap="1">
            <wp:simplePos x="0" y="0"/>
            <wp:positionH relativeFrom="column">
              <wp:posOffset>3635375</wp:posOffset>
            </wp:positionH>
            <wp:positionV relativeFrom="paragraph">
              <wp:posOffset>20955</wp:posOffset>
            </wp:positionV>
            <wp:extent cx="2088515" cy="2711450"/>
            <wp:effectExtent l="0" t="0" r="0" b="0"/>
            <wp:wrapTight wrapText="bothSides">
              <wp:wrapPolygon edited="0">
                <wp:start x="0" y="0"/>
                <wp:lineTo x="0" y="21398"/>
                <wp:lineTo x="21475" y="21398"/>
                <wp:lineTo x="21475" y="0"/>
                <wp:lineTo x="0" y="0"/>
              </wp:wrapPolygon>
            </wp:wrapTight>
            <wp:docPr id="10" name="obrázek 10" descr="suchý led v tukové emulzi - hrnečku va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chý led v tukové emulzi - hrnečku vař"/>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8515" cy="271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A" w:rsidRPr="00211DEA">
        <w:rPr>
          <w:rFonts w:cs="Times New Roman"/>
          <w:noProof/>
          <w:color w:val="000000"/>
        </w:rPr>
        <w:t xml:space="preserve">Pokud jako součást drinku použijeme smetanu (tuk), sojový lecitin nebo třeba olej, pak tvoří suchý led při sublimaci za pomocí těchto přísad bubliny. </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Pokud přidáme suchý led do Piňa Colády se smetanou, vytvoří se „Piňa Coláda“ bubliny, které můžeme podávat jako součást drinků nebo jídla.</w:t>
      </w:r>
    </w:p>
    <w:p w:rsidR="00211DEA" w:rsidRPr="00211DEA" w:rsidRDefault="00211DEA" w:rsidP="00211DEA">
      <w:pPr>
        <w:numPr>
          <w:ilvl w:val="0"/>
          <w:numId w:val="2"/>
        </w:numPr>
        <w:rPr>
          <w:rStyle w:val="Normln"/>
          <w:rFonts w:cs="Times New Roman"/>
          <w:color w:val="000000"/>
        </w:rPr>
      </w:pPr>
      <w:r w:rsidRPr="00211DEA">
        <w:rPr>
          <w:rFonts w:eastAsia="Calibri-Bold" w:cs="Times New Roman"/>
          <w:color w:val="000000"/>
          <w:lang w:val="cs-CZ"/>
        </w:rPr>
        <w:t>Bublinová reakce je celkem stabilní a dlouhá, což má přidáním suchého ledu do smetanového</w:t>
      </w:r>
      <w:r w:rsidRPr="00211DEA">
        <w:rPr>
          <w:rFonts w:cs="Times New Roman"/>
          <w:color w:val="000000"/>
        </w:rPr>
        <w:t xml:space="preserve"> drinku efekt „hrnečku vař“. Celý drink vypění ze sklenice.</w:t>
      </w:r>
      <w:r w:rsidRPr="00211DEA">
        <w:rPr>
          <w:rStyle w:val="Normln"/>
          <w:rFonts w:cs="Times New Roman"/>
          <w:snapToGrid w:val="0"/>
          <w:color w:val="000000"/>
          <w:w w:val="0"/>
          <w:u w:color="000000"/>
          <w:bdr w:val="none" w:sz="0" w:space="0" w:color="000000"/>
          <w:shd w:val="clear" w:color="000000" w:fill="000000"/>
          <w:lang w:val="x-none" w:eastAsia="x-none" w:bidi="x-none"/>
        </w:rPr>
        <w:t xml:space="preserve"> </w:t>
      </w:r>
    </w:p>
    <w:p w:rsidR="00211DEA" w:rsidRPr="00211DEA" w:rsidRDefault="00211DEA" w:rsidP="00211DEA">
      <w:pPr>
        <w:pStyle w:val="Nadpis1"/>
        <w:keepLines w:val="0"/>
        <w:tabs>
          <w:tab w:val="left" w:pos="964"/>
        </w:tabs>
        <w:spacing w:before="120" w:after="120"/>
        <w:rPr>
          <w:rFonts w:ascii="Times New Roman" w:hAnsi="Times New Roman"/>
          <w:color w:val="000000"/>
          <w:sz w:val="24"/>
          <w:szCs w:val="24"/>
          <w:lang w:val="cs-CZ"/>
        </w:rPr>
      </w:pPr>
      <w:bookmarkStart w:id="3" w:name="_Toc293385126"/>
      <w:r w:rsidRPr="00211DEA">
        <w:rPr>
          <w:rFonts w:ascii="Times New Roman" w:hAnsi="Times New Roman"/>
          <w:color w:val="000000"/>
          <w:sz w:val="24"/>
          <w:szCs w:val="24"/>
          <w:lang w:val="cs-CZ"/>
        </w:rPr>
        <w:lastRenderedPageBreak/>
        <w:t>ZMRZLINY</w:t>
      </w:r>
      <w:bookmarkEnd w:id="3"/>
    </w:p>
    <w:p w:rsidR="00211DEA" w:rsidRPr="00211DEA" w:rsidRDefault="00562BAE" w:rsidP="00211DEA">
      <w:pPr>
        <w:jc w:val="both"/>
        <w:rPr>
          <w:rFonts w:cs="Times New Roman"/>
          <w:noProof/>
          <w:color w:val="000000"/>
        </w:rPr>
      </w:pPr>
      <w:r>
        <w:rPr>
          <w:noProof/>
          <w:lang w:val="cs-CZ" w:eastAsia="cs-CZ" w:bidi="ar-SA"/>
        </w:rPr>
        <w:drawing>
          <wp:anchor distT="0" distB="0" distL="114300" distR="114300" simplePos="0" relativeHeight="251657216" behindDoc="1" locked="0" layoutInCell="1" allowOverlap="1">
            <wp:simplePos x="0" y="0"/>
            <wp:positionH relativeFrom="column">
              <wp:posOffset>3066415</wp:posOffset>
            </wp:positionH>
            <wp:positionV relativeFrom="paragraph">
              <wp:posOffset>629285</wp:posOffset>
            </wp:positionV>
            <wp:extent cx="2657475" cy="2211705"/>
            <wp:effectExtent l="0" t="0" r="0" b="0"/>
            <wp:wrapTight wrapText="bothSides">
              <wp:wrapPolygon edited="0">
                <wp:start x="0" y="0"/>
                <wp:lineTo x="0" y="21395"/>
                <wp:lineTo x="21523" y="21395"/>
                <wp:lineTo x="21523" y="0"/>
                <wp:lineTo x="0" y="0"/>
              </wp:wrapPolygon>
            </wp:wrapTight>
            <wp:docPr id="9" name="obrázek 9" descr="servis zmrzliny na vymražených kamen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is zmrzliny na vymražených kamene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7475"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A" w:rsidRPr="00211DEA">
        <w:rPr>
          <w:rFonts w:cs="Times New Roman"/>
          <w:noProof/>
          <w:color w:val="000000"/>
        </w:rPr>
        <w:t xml:space="preserve">Oblíbená zmrzlina se vyrábí lámáním ledových krystalů vody, které vznikají při chlazení zmrzlinové směsi, tedy šleháním. Pokud chceme vyrobit alkoholickou zmrzlinu, je potřeba nižší teplota chlazení, než je běžné. Teplota chlazení je závislá na koncentraci alkoholu ve směsi. </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Pro výrobu alkoholické zmrzliny je vhodnější dusík (</w:t>
      </w:r>
      <w:smartTag w:uri="urn:schemas-microsoft-com:office:smarttags" w:element="metricconverter">
        <w:smartTagPr>
          <w:attr w:name="ProductID" w:val="-189ﾰC"/>
        </w:smartTagPr>
        <w:r w:rsidRPr="00211DEA">
          <w:rPr>
            <w:rFonts w:eastAsia="Calibri-Bold" w:cs="Times New Roman"/>
            <w:color w:val="000000"/>
            <w:lang w:val="cs-CZ"/>
          </w:rPr>
          <w:t>-189°C</w:t>
        </w:r>
      </w:smartTag>
      <w:r w:rsidRPr="00211DEA">
        <w:rPr>
          <w:rFonts w:eastAsia="Calibri-Bold" w:cs="Times New Roman"/>
          <w:color w:val="000000"/>
          <w:lang w:val="cs-CZ"/>
        </w:rPr>
        <w:t xml:space="preserve">), protože alkohol má bod tání </w:t>
      </w:r>
      <w:smartTag w:uri="urn:schemas-microsoft-com:office:smarttags" w:element="metricconverter">
        <w:smartTagPr>
          <w:attr w:name="ProductID" w:val="-114ﾰC"/>
        </w:smartTagPr>
        <w:r w:rsidRPr="00211DEA">
          <w:rPr>
            <w:rFonts w:eastAsia="Calibri-Bold" w:cs="Times New Roman"/>
            <w:color w:val="000000"/>
            <w:lang w:val="cs-CZ"/>
          </w:rPr>
          <w:t>-114°C</w:t>
        </w:r>
      </w:smartTag>
      <w:r w:rsidRPr="00211DEA">
        <w:rPr>
          <w:rFonts w:eastAsia="Calibri-Bold" w:cs="Times New Roman"/>
          <w:color w:val="000000"/>
          <w:lang w:val="cs-CZ"/>
        </w:rPr>
        <w:t>.</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Platí pravidlo, že chladící složka se přidává do míchané směsi, ne naopak.</w:t>
      </w:r>
    </w:p>
    <w:p w:rsidR="00211DEA" w:rsidRPr="00211DEA" w:rsidRDefault="00211DEA" w:rsidP="00211DEA">
      <w:pPr>
        <w:pStyle w:val="Nadpis1"/>
        <w:keepLines w:val="0"/>
        <w:tabs>
          <w:tab w:val="left" w:pos="964"/>
        </w:tabs>
        <w:spacing w:before="120" w:after="120"/>
        <w:rPr>
          <w:rFonts w:ascii="Times New Roman" w:hAnsi="Times New Roman"/>
          <w:color w:val="000000"/>
          <w:sz w:val="24"/>
          <w:szCs w:val="24"/>
          <w:lang w:val="cs-CZ"/>
        </w:rPr>
      </w:pPr>
      <w:bookmarkStart w:id="4" w:name="_Toc293385127"/>
      <w:r w:rsidRPr="00211DEA">
        <w:rPr>
          <w:rFonts w:ascii="Times New Roman" w:hAnsi="Times New Roman"/>
          <w:color w:val="000000"/>
          <w:sz w:val="24"/>
          <w:szCs w:val="24"/>
          <w:lang w:val="cs-CZ"/>
        </w:rPr>
        <w:t>MRAŽENÍ</w:t>
      </w:r>
      <w:bookmarkEnd w:id="4"/>
    </w:p>
    <w:p w:rsidR="00211DEA" w:rsidRPr="00211DEA" w:rsidRDefault="00211DEA" w:rsidP="00211DEA">
      <w:pPr>
        <w:jc w:val="both"/>
        <w:rPr>
          <w:rFonts w:cs="Times New Roman"/>
          <w:noProof/>
          <w:color w:val="000000"/>
        </w:rPr>
      </w:pPr>
      <w:r w:rsidRPr="00211DEA">
        <w:rPr>
          <w:rFonts w:cs="Times New Roman"/>
          <w:noProof/>
          <w:color w:val="000000"/>
        </w:rPr>
        <w:t>Velmi nízká teplota obou plynů je už sama o sobě předurčením k mražení různých produktů. Oproti výrobě zmrzliny dosáhneme lepšího – okamžitého zmrazení obráceným postupem. Mražený produkt tedy dávkujeme do mrazícího media. Můžeme takto například vyrobit mražené kuličky při nakapání koncentrátu, drinku nebo alkoholu do tekutého dusíku. Při využití forem je možné dostat mražené kousky různých tvarů, které buď servírujeme samostatně, nebo použijeme k další práci. Jednou z dalších technik je výroba mraženého prachu. Mražené produkty je možné rozbít na prach a servírovat nebo doplňovat jimi různé servisy, drinky či jídla. Pochopitelně je potřeba počítat s malou tepelnou trvanlivostí tak malých částí jako je prach.</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Pokud vyrobíme mražené kuličky z mátového koncentrátu a z cukrového sirupu, tak jednoduchým vložením do porce bílého rumu můžeme servírovat molekulárně změněné Mojito formou shooters.</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 xml:space="preserve">Jestliže ponoříme drink, zmražený v dusíku na kostky, do horké čokolády a následně po vytažení necháme vychladnout v lednici. Čokoláda na povrchu drinku zmrzne a drink uprostřed roztaje, vyrobíme tak čokoládové bonbony plněné jakýmkoliv drinkem. </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Pro tuto techniku se nejlépe hodí tekutý dusík</w:t>
      </w:r>
    </w:p>
    <w:p w:rsidR="00211DEA" w:rsidRPr="00211DEA" w:rsidRDefault="00211DEA" w:rsidP="00211DEA">
      <w:pPr>
        <w:pStyle w:val="Nadpis1"/>
        <w:keepLines w:val="0"/>
        <w:tabs>
          <w:tab w:val="left" w:pos="964"/>
        </w:tabs>
        <w:spacing w:before="120" w:after="120"/>
        <w:rPr>
          <w:rFonts w:ascii="Times New Roman" w:hAnsi="Times New Roman"/>
          <w:color w:val="000000"/>
          <w:sz w:val="24"/>
          <w:szCs w:val="24"/>
          <w:lang w:val="cs-CZ"/>
        </w:rPr>
      </w:pPr>
      <w:bookmarkStart w:id="5" w:name="_Toc293385128"/>
      <w:r w:rsidRPr="00211DEA">
        <w:rPr>
          <w:rFonts w:ascii="Times New Roman" w:hAnsi="Times New Roman"/>
          <w:color w:val="000000"/>
          <w:sz w:val="24"/>
          <w:szCs w:val="24"/>
          <w:lang w:val="cs-CZ"/>
        </w:rPr>
        <w:t>SYCENÍ</w:t>
      </w:r>
      <w:bookmarkEnd w:id="5"/>
    </w:p>
    <w:p w:rsidR="00211DEA" w:rsidRPr="00211DEA" w:rsidRDefault="00211DEA" w:rsidP="00211DEA">
      <w:pPr>
        <w:jc w:val="both"/>
        <w:rPr>
          <w:rFonts w:cs="Times New Roman"/>
          <w:noProof/>
          <w:color w:val="000000"/>
        </w:rPr>
      </w:pPr>
      <w:r w:rsidRPr="00211DEA">
        <w:rPr>
          <w:rFonts w:cs="Times New Roman"/>
          <w:noProof/>
          <w:color w:val="000000"/>
        </w:rPr>
        <w:t xml:space="preserve">Suchý led, který je vlastně oxidem uhličitým v pevném stavu má tendenci při sublimaci – vypařování za určitých podmínek sytit suroviny v okolí plynným CO2. Pokud tedy umístíme </w:t>
      </w:r>
      <w:r w:rsidRPr="00211DEA">
        <w:rPr>
          <w:rFonts w:cs="Times New Roman"/>
          <w:noProof/>
          <w:color w:val="000000"/>
        </w:rPr>
        <w:lastRenderedPageBreak/>
        <w:t>do uzavřené nádoby se suchým ledem surovinu, kterou chceme nasytit, tak suchý led, který se vypařuje, a nemá kam unikat, se vstřebává do pórů v okolí.</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Takto můžeme připravit perlivé želé například při výrobě Cuba Libre v želé</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Hroznové kuličky, takto nasycené při rozkousnutí v ústech příjemně zaperlí</w:t>
      </w:r>
    </w:p>
    <w:p w:rsidR="00211DEA" w:rsidRPr="00211DEA" w:rsidRDefault="00211DEA" w:rsidP="00211DEA">
      <w:pPr>
        <w:numPr>
          <w:ilvl w:val="0"/>
          <w:numId w:val="2"/>
        </w:numPr>
        <w:jc w:val="both"/>
        <w:rPr>
          <w:rFonts w:eastAsia="Calibri-Bold" w:cs="Times New Roman"/>
          <w:color w:val="000000"/>
          <w:lang w:val="cs-CZ"/>
        </w:rPr>
      </w:pPr>
      <w:r w:rsidRPr="00211DEA">
        <w:rPr>
          <w:rFonts w:eastAsia="Calibri-Bold" w:cs="Times New Roman"/>
          <w:color w:val="000000"/>
          <w:lang w:val="cs-CZ"/>
        </w:rPr>
        <w:t>Další variantou sycení je sycení plynným oxidem uhličitým v tlakové nádobě</w:t>
      </w:r>
    </w:p>
    <w:p w:rsidR="00211DEA" w:rsidRPr="00211DEA" w:rsidRDefault="00211DEA" w:rsidP="00211DEA">
      <w:pPr>
        <w:pStyle w:val="Odstavecseseznamem"/>
        <w:spacing w:after="0"/>
        <w:ind w:left="360"/>
        <w:rPr>
          <w:color w:val="000000"/>
        </w:rPr>
      </w:pPr>
    </w:p>
    <w:p w:rsidR="00211DEA" w:rsidRPr="00211DEA" w:rsidRDefault="00211DEA">
      <w:pPr>
        <w:rPr>
          <w:rFonts w:cs="Times New Roman"/>
          <w:lang w:val="cs-CZ"/>
        </w:rPr>
      </w:pPr>
    </w:p>
    <w:sectPr w:rsidR="00211DEA" w:rsidRPr="00211DEA" w:rsidSect="00387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4942"/>
    <w:multiLevelType w:val="hybridMultilevel"/>
    <w:tmpl w:val="3AFE8A30"/>
    <w:lvl w:ilvl="0" w:tplc="7898C15A">
      <w:start w:val="1"/>
      <w:numFmt w:val="bullet"/>
      <w:lvlText w:val=""/>
      <w:lvlJc w:val="left"/>
      <w:pPr>
        <w:tabs>
          <w:tab w:val="num" w:pos="312"/>
        </w:tabs>
        <w:ind w:left="113" w:firstLine="114"/>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C0261"/>
    <w:multiLevelType w:val="multilevel"/>
    <w:tmpl w:val="973E93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284" w:hanging="284"/>
      </w:pPr>
      <w:rPr>
        <w:rFonts w:hint="default"/>
        <w:b/>
        <w:color w:val="auto"/>
        <w:sz w:val="44"/>
        <w:szCs w:val="4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59"/>
    <w:rsid w:val="00211DEA"/>
    <w:rsid w:val="00260B66"/>
    <w:rsid w:val="00387A67"/>
    <w:rsid w:val="004E473C"/>
    <w:rsid w:val="00562BAE"/>
    <w:rsid w:val="005D5753"/>
    <w:rsid w:val="00643546"/>
    <w:rsid w:val="007F1AF5"/>
    <w:rsid w:val="00861270"/>
    <w:rsid w:val="00BB5F59"/>
    <w:rsid w:val="00BC3EF3"/>
    <w:rsid w:val="00C07468"/>
    <w:rsid w:val="00CA72D9"/>
    <w:rsid w:val="00E21ED5"/>
    <w:rsid w:val="00E4683F"/>
    <w:rsid w:val="00F93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BBF02D-810D-4E2C-B4CC-A2322346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5F59"/>
    <w:pPr>
      <w:spacing w:after="120" w:line="360" w:lineRule="auto"/>
    </w:pPr>
    <w:rPr>
      <w:rFonts w:ascii="Times New Roman" w:eastAsia="Times New Roman" w:hAnsi="Times New Roman" w:cs="Calibri"/>
      <w:sz w:val="24"/>
      <w:szCs w:val="24"/>
      <w:lang w:val="en-US" w:eastAsia="en-US" w:bidi="en-US"/>
    </w:rPr>
  </w:style>
  <w:style w:type="paragraph" w:styleId="Nadpis1">
    <w:name w:val="heading 1"/>
    <w:basedOn w:val="Normln"/>
    <w:next w:val="Normln"/>
    <w:link w:val="Nadpis1Char"/>
    <w:uiPriority w:val="9"/>
    <w:qFormat/>
    <w:rsid w:val="00C0746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link w:val="Nadpis2Char"/>
    <w:uiPriority w:val="9"/>
    <w:qFormat/>
    <w:rsid w:val="00C07468"/>
    <w:pPr>
      <w:spacing w:before="100" w:beforeAutospacing="1" w:after="100" w:afterAutospacing="1" w:line="240" w:lineRule="auto"/>
      <w:outlineLvl w:val="1"/>
    </w:pPr>
    <w:rPr>
      <w:rFonts w:cs="Times New Roman"/>
      <w:b/>
      <w:bCs/>
      <w:sz w:val="36"/>
      <w:szCs w:val="36"/>
      <w:lang w:eastAsia="cs-CZ"/>
    </w:rPr>
  </w:style>
  <w:style w:type="paragraph" w:styleId="Nadpis3">
    <w:name w:val="heading 3"/>
    <w:basedOn w:val="Normln"/>
    <w:next w:val="Normln"/>
    <w:link w:val="Nadpis3Char"/>
    <w:uiPriority w:val="9"/>
    <w:qFormat/>
    <w:rsid w:val="00BB5F59"/>
    <w:pPr>
      <w:keepNext/>
      <w:tabs>
        <w:tab w:val="num" w:pos="5580"/>
      </w:tabs>
      <w:ind w:left="5580" w:hanging="720"/>
      <w:outlineLvl w:val="2"/>
    </w:pPr>
    <w:rPr>
      <w:rFonts w:cs="Arial"/>
      <w:b/>
      <w:bCs/>
      <w:sz w:val="28"/>
      <w:szCs w:val="26"/>
    </w:rPr>
  </w:style>
  <w:style w:type="paragraph" w:styleId="Nadpis4">
    <w:name w:val="heading 4"/>
    <w:basedOn w:val="Normln"/>
    <w:next w:val="Normln"/>
    <w:link w:val="Nadpis4Char"/>
    <w:uiPriority w:val="9"/>
    <w:unhideWhenUsed/>
    <w:qFormat/>
    <w:rsid w:val="00C07468"/>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BB5F59"/>
    <w:pPr>
      <w:tabs>
        <w:tab w:val="num" w:pos="5868"/>
      </w:tabs>
      <w:spacing w:before="240" w:after="60"/>
      <w:ind w:left="5868" w:hanging="1008"/>
      <w:outlineLvl w:val="4"/>
    </w:pPr>
    <w:rPr>
      <w:rFonts w:cs="Times New Roman"/>
      <w:b/>
      <w:bCs/>
      <w:i/>
      <w:iCs/>
      <w:sz w:val="26"/>
      <w:szCs w:val="26"/>
    </w:rPr>
  </w:style>
  <w:style w:type="paragraph" w:styleId="Nadpis6">
    <w:name w:val="heading 6"/>
    <w:basedOn w:val="Normln"/>
    <w:next w:val="Normln"/>
    <w:link w:val="Nadpis6Char"/>
    <w:uiPriority w:val="9"/>
    <w:qFormat/>
    <w:rsid w:val="00BB5F59"/>
    <w:pPr>
      <w:tabs>
        <w:tab w:val="num" w:pos="6012"/>
      </w:tabs>
      <w:spacing w:before="240" w:after="60"/>
      <w:ind w:left="6012" w:hanging="1152"/>
      <w:outlineLvl w:val="5"/>
    </w:pPr>
    <w:rPr>
      <w:rFonts w:cs="Times New Roman"/>
      <w:b/>
      <w:bCs/>
      <w:sz w:val="22"/>
      <w:szCs w:val="22"/>
    </w:rPr>
  </w:style>
  <w:style w:type="paragraph" w:styleId="Nadpis7">
    <w:name w:val="heading 7"/>
    <w:basedOn w:val="Normln"/>
    <w:next w:val="Normln"/>
    <w:link w:val="Nadpis7Char"/>
    <w:uiPriority w:val="9"/>
    <w:qFormat/>
    <w:rsid w:val="00BB5F59"/>
    <w:pPr>
      <w:tabs>
        <w:tab w:val="num" w:pos="6156"/>
      </w:tabs>
      <w:spacing w:before="240" w:after="60"/>
      <w:ind w:left="6156" w:hanging="1296"/>
      <w:outlineLvl w:val="6"/>
    </w:pPr>
    <w:rPr>
      <w:rFonts w:cs="Times New Roman"/>
    </w:rPr>
  </w:style>
  <w:style w:type="paragraph" w:styleId="Nadpis8">
    <w:name w:val="heading 8"/>
    <w:basedOn w:val="Normln"/>
    <w:next w:val="Normln"/>
    <w:link w:val="Nadpis8Char"/>
    <w:uiPriority w:val="9"/>
    <w:qFormat/>
    <w:rsid w:val="00BB5F59"/>
    <w:pPr>
      <w:tabs>
        <w:tab w:val="num" w:pos="6300"/>
      </w:tabs>
      <w:spacing w:before="240" w:after="60"/>
      <w:ind w:left="6300" w:hanging="1440"/>
      <w:outlineLvl w:val="7"/>
    </w:pPr>
    <w:rPr>
      <w:rFonts w:cs="Times New Roman"/>
      <w:i/>
      <w:iCs/>
    </w:rPr>
  </w:style>
  <w:style w:type="paragraph" w:styleId="Nadpis9">
    <w:name w:val="heading 9"/>
    <w:basedOn w:val="Normln"/>
    <w:next w:val="Normln"/>
    <w:link w:val="Nadpis9Char"/>
    <w:uiPriority w:val="9"/>
    <w:qFormat/>
    <w:rsid w:val="00BB5F59"/>
    <w:pPr>
      <w:tabs>
        <w:tab w:val="num" w:pos="6444"/>
      </w:tabs>
      <w:spacing w:before="240" w:after="60"/>
      <w:ind w:left="6444" w:hanging="1584"/>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7468"/>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C0746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C07468"/>
    <w:rPr>
      <w:rFonts w:eastAsia="Times New Roman"/>
      <w:b/>
      <w:bCs/>
      <w:sz w:val="28"/>
      <w:szCs w:val="28"/>
    </w:rPr>
  </w:style>
  <w:style w:type="paragraph" w:styleId="Bezmezer">
    <w:name w:val="No Spacing"/>
    <w:uiPriority w:val="1"/>
    <w:qFormat/>
    <w:rsid w:val="00C07468"/>
    <w:rPr>
      <w:sz w:val="22"/>
      <w:szCs w:val="22"/>
      <w:lang w:eastAsia="en-US"/>
    </w:rPr>
  </w:style>
  <w:style w:type="paragraph" w:styleId="Odstavecseseznamem">
    <w:name w:val="List Paragraph"/>
    <w:basedOn w:val="Normln"/>
    <w:uiPriority w:val="34"/>
    <w:qFormat/>
    <w:rsid w:val="00C07468"/>
    <w:pPr>
      <w:ind w:left="720"/>
      <w:contextualSpacing/>
    </w:pPr>
    <w:rPr>
      <w:rFonts w:cs="Times New Roman"/>
    </w:rPr>
  </w:style>
  <w:style w:type="character" w:customStyle="1" w:styleId="Nadpis3Char">
    <w:name w:val="Nadpis 3 Char"/>
    <w:basedOn w:val="Standardnpsmoodstavce"/>
    <w:link w:val="Nadpis3"/>
    <w:uiPriority w:val="9"/>
    <w:rsid w:val="00BB5F59"/>
    <w:rPr>
      <w:rFonts w:ascii="Times New Roman" w:eastAsia="Times New Roman" w:hAnsi="Times New Roman" w:cs="Arial"/>
      <w:b/>
      <w:bCs/>
      <w:sz w:val="28"/>
      <w:szCs w:val="26"/>
      <w:lang w:val="en-US" w:bidi="en-US"/>
    </w:rPr>
  </w:style>
  <w:style w:type="character" w:customStyle="1" w:styleId="Nadpis5Char">
    <w:name w:val="Nadpis 5 Char"/>
    <w:basedOn w:val="Standardnpsmoodstavce"/>
    <w:link w:val="Nadpis5"/>
    <w:uiPriority w:val="9"/>
    <w:rsid w:val="00BB5F59"/>
    <w:rPr>
      <w:rFonts w:ascii="Times New Roman" w:eastAsia="Times New Roman" w:hAnsi="Times New Roman" w:cs="Times New Roman"/>
      <w:b/>
      <w:bCs/>
      <w:i/>
      <w:iCs/>
      <w:sz w:val="26"/>
      <w:szCs w:val="26"/>
      <w:lang w:val="en-US" w:bidi="en-US"/>
    </w:rPr>
  </w:style>
  <w:style w:type="character" w:customStyle="1" w:styleId="Nadpis6Char">
    <w:name w:val="Nadpis 6 Char"/>
    <w:basedOn w:val="Standardnpsmoodstavce"/>
    <w:link w:val="Nadpis6"/>
    <w:uiPriority w:val="9"/>
    <w:rsid w:val="00BB5F59"/>
    <w:rPr>
      <w:rFonts w:ascii="Times New Roman" w:eastAsia="Times New Roman" w:hAnsi="Times New Roman" w:cs="Times New Roman"/>
      <w:b/>
      <w:bCs/>
      <w:lang w:val="en-US" w:bidi="en-US"/>
    </w:rPr>
  </w:style>
  <w:style w:type="character" w:customStyle="1" w:styleId="Nadpis7Char">
    <w:name w:val="Nadpis 7 Char"/>
    <w:basedOn w:val="Standardnpsmoodstavce"/>
    <w:link w:val="Nadpis7"/>
    <w:uiPriority w:val="9"/>
    <w:rsid w:val="00BB5F59"/>
    <w:rPr>
      <w:rFonts w:ascii="Times New Roman" w:eastAsia="Times New Roman" w:hAnsi="Times New Roman" w:cs="Times New Roman"/>
      <w:sz w:val="24"/>
      <w:szCs w:val="24"/>
      <w:lang w:val="en-US" w:bidi="en-US"/>
    </w:rPr>
  </w:style>
  <w:style w:type="character" w:customStyle="1" w:styleId="Nadpis8Char">
    <w:name w:val="Nadpis 8 Char"/>
    <w:basedOn w:val="Standardnpsmoodstavce"/>
    <w:link w:val="Nadpis8"/>
    <w:uiPriority w:val="9"/>
    <w:rsid w:val="00BB5F59"/>
    <w:rPr>
      <w:rFonts w:ascii="Times New Roman" w:eastAsia="Times New Roman" w:hAnsi="Times New Roman" w:cs="Times New Roman"/>
      <w:i/>
      <w:iCs/>
      <w:sz w:val="24"/>
      <w:szCs w:val="24"/>
      <w:lang w:val="en-US" w:bidi="en-US"/>
    </w:rPr>
  </w:style>
  <w:style w:type="character" w:customStyle="1" w:styleId="Nadpis9Char">
    <w:name w:val="Nadpis 9 Char"/>
    <w:basedOn w:val="Standardnpsmoodstavce"/>
    <w:link w:val="Nadpis9"/>
    <w:uiPriority w:val="9"/>
    <w:rsid w:val="00BB5F59"/>
    <w:rPr>
      <w:rFonts w:ascii="Cambria" w:eastAsia="Times New Roman" w:hAnsi="Cambria" w:cs="Times New Roman"/>
      <w:lang w:val="en-US" w:bidi="en-US"/>
    </w:rPr>
  </w:style>
  <w:style w:type="paragraph" w:styleId="Normlnweb">
    <w:name w:val="Normal (Web)"/>
    <w:basedOn w:val="Normln"/>
    <w:uiPriority w:val="99"/>
    <w:rsid w:val="00211D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Atmosf%C3%A9ra" TargetMode="External"/><Relationship Id="rId13" Type="http://schemas.openxmlformats.org/officeDocument/2006/relationships/hyperlink" Target="http://cs.wikipedia.org/wiki/Plyn"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s.wikipedia.org/wiki/Zem%C4%9B" TargetMode="External"/><Relationship Id="rId12" Type="http://schemas.openxmlformats.org/officeDocument/2006/relationships/hyperlink" Target="http://cs.wikipedia.org/wiki/Jed"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s.wikipedia.org/wiki/Sublimace"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cs.wikipedia.org/wiki/Chemick%C3%BD_prvek" TargetMode="External"/><Relationship Id="rId11" Type="http://schemas.openxmlformats.org/officeDocument/2006/relationships/hyperlink" Target="http://cs.wikipedia.org/wiki/Barva" TargetMode="External"/><Relationship Id="rId5" Type="http://schemas.openxmlformats.org/officeDocument/2006/relationships/hyperlink" Target="http://cs.wikipedia.org/wiki/Plyn" TargetMode="External"/><Relationship Id="rId15" Type="http://schemas.openxmlformats.org/officeDocument/2006/relationships/hyperlink" Target="http://cs.wikipedia.org/wiki/Skupenstv%C3%AD" TargetMode="External"/><Relationship Id="rId10" Type="http://schemas.openxmlformats.org/officeDocument/2006/relationships/hyperlink" Target="http://cs.wikipedia.org/wiki/Ply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s.wikipedia.org/wiki/Biogenn%C3%AD_prvky" TargetMode="External"/><Relationship Id="rId14" Type="http://schemas.openxmlformats.org/officeDocument/2006/relationships/hyperlink" Target="http://cs.wikipedia.org/wiki/Husto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6189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7223</CharactersWithSpaces>
  <SharedDoc>false</SharedDoc>
  <HLinks>
    <vt:vector size="72" baseType="variant">
      <vt:variant>
        <vt:i4>6619199</vt:i4>
      </vt:variant>
      <vt:variant>
        <vt:i4>33</vt:i4>
      </vt:variant>
      <vt:variant>
        <vt:i4>0</vt:i4>
      </vt:variant>
      <vt:variant>
        <vt:i4>5</vt:i4>
      </vt:variant>
      <vt:variant>
        <vt:lpwstr>http://cs.wikipedia.org/wiki/Sublimace</vt:lpwstr>
      </vt:variant>
      <vt:variant>
        <vt:lpwstr/>
      </vt:variant>
      <vt:variant>
        <vt:i4>6094942</vt:i4>
      </vt:variant>
      <vt:variant>
        <vt:i4>30</vt:i4>
      </vt:variant>
      <vt:variant>
        <vt:i4>0</vt:i4>
      </vt:variant>
      <vt:variant>
        <vt:i4>5</vt:i4>
      </vt:variant>
      <vt:variant>
        <vt:lpwstr>http://cs.wikipedia.org/wiki/Skupenstv%C3%AD</vt:lpwstr>
      </vt:variant>
      <vt:variant>
        <vt:lpwstr/>
      </vt:variant>
      <vt:variant>
        <vt:i4>786525</vt:i4>
      </vt:variant>
      <vt:variant>
        <vt:i4>27</vt:i4>
      </vt:variant>
      <vt:variant>
        <vt:i4>0</vt:i4>
      </vt:variant>
      <vt:variant>
        <vt:i4>5</vt:i4>
      </vt:variant>
      <vt:variant>
        <vt:lpwstr>http://cs.wikipedia.org/wiki/Hustota</vt:lpwstr>
      </vt:variant>
      <vt:variant>
        <vt:lpwstr/>
      </vt:variant>
      <vt:variant>
        <vt:i4>1048644</vt:i4>
      </vt:variant>
      <vt:variant>
        <vt:i4>24</vt:i4>
      </vt:variant>
      <vt:variant>
        <vt:i4>0</vt:i4>
      </vt:variant>
      <vt:variant>
        <vt:i4>5</vt:i4>
      </vt:variant>
      <vt:variant>
        <vt:lpwstr>http://cs.wikipedia.org/wiki/Plyn</vt:lpwstr>
      </vt:variant>
      <vt:variant>
        <vt:lpwstr/>
      </vt:variant>
      <vt:variant>
        <vt:i4>1507405</vt:i4>
      </vt:variant>
      <vt:variant>
        <vt:i4>21</vt:i4>
      </vt:variant>
      <vt:variant>
        <vt:i4>0</vt:i4>
      </vt:variant>
      <vt:variant>
        <vt:i4>5</vt:i4>
      </vt:variant>
      <vt:variant>
        <vt:lpwstr>http://cs.wikipedia.org/wiki/Jed</vt:lpwstr>
      </vt:variant>
      <vt:variant>
        <vt:lpwstr/>
      </vt:variant>
      <vt:variant>
        <vt:i4>6815807</vt:i4>
      </vt:variant>
      <vt:variant>
        <vt:i4>18</vt:i4>
      </vt:variant>
      <vt:variant>
        <vt:i4>0</vt:i4>
      </vt:variant>
      <vt:variant>
        <vt:i4>5</vt:i4>
      </vt:variant>
      <vt:variant>
        <vt:lpwstr>http://cs.wikipedia.org/wiki/Barva</vt:lpwstr>
      </vt:variant>
      <vt:variant>
        <vt:lpwstr/>
      </vt:variant>
      <vt:variant>
        <vt:i4>1048644</vt:i4>
      </vt:variant>
      <vt:variant>
        <vt:i4>15</vt:i4>
      </vt:variant>
      <vt:variant>
        <vt:i4>0</vt:i4>
      </vt:variant>
      <vt:variant>
        <vt:i4>5</vt:i4>
      </vt:variant>
      <vt:variant>
        <vt:lpwstr>http://cs.wikipedia.org/wiki/Plyn</vt:lpwstr>
      </vt:variant>
      <vt:variant>
        <vt:lpwstr/>
      </vt:variant>
      <vt:variant>
        <vt:i4>4325497</vt:i4>
      </vt:variant>
      <vt:variant>
        <vt:i4>12</vt:i4>
      </vt:variant>
      <vt:variant>
        <vt:i4>0</vt:i4>
      </vt:variant>
      <vt:variant>
        <vt:i4>5</vt:i4>
      </vt:variant>
      <vt:variant>
        <vt:lpwstr>http://cs.wikipedia.org/wiki/Biogenn%C3%AD_prvky</vt:lpwstr>
      </vt:variant>
      <vt:variant>
        <vt:lpwstr/>
      </vt:variant>
      <vt:variant>
        <vt:i4>6488106</vt:i4>
      </vt:variant>
      <vt:variant>
        <vt:i4>9</vt:i4>
      </vt:variant>
      <vt:variant>
        <vt:i4>0</vt:i4>
      </vt:variant>
      <vt:variant>
        <vt:i4>5</vt:i4>
      </vt:variant>
      <vt:variant>
        <vt:lpwstr>http://cs.wikipedia.org/wiki/Atmosf%C3%A9ra</vt:lpwstr>
      </vt:variant>
      <vt:variant>
        <vt:lpwstr/>
      </vt:variant>
      <vt:variant>
        <vt:i4>2752613</vt:i4>
      </vt:variant>
      <vt:variant>
        <vt:i4>6</vt:i4>
      </vt:variant>
      <vt:variant>
        <vt:i4>0</vt:i4>
      </vt:variant>
      <vt:variant>
        <vt:i4>5</vt:i4>
      </vt:variant>
      <vt:variant>
        <vt:lpwstr>http://cs.wikipedia.org/wiki/Zem%C4%9B</vt:lpwstr>
      </vt:variant>
      <vt:variant>
        <vt:lpwstr/>
      </vt:variant>
      <vt:variant>
        <vt:i4>5374066</vt:i4>
      </vt:variant>
      <vt:variant>
        <vt:i4>3</vt:i4>
      </vt:variant>
      <vt:variant>
        <vt:i4>0</vt:i4>
      </vt:variant>
      <vt:variant>
        <vt:i4>5</vt:i4>
      </vt:variant>
      <vt:variant>
        <vt:lpwstr>http://cs.wikipedia.org/wiki/Chemick%C3%BD_prvek</vt:lpwstr>
      </vt:variant>
      <vt:variant>
        <vt:lpwstr/>
      </vt:variant>
      <vt:variant>
        <vt:i4>1048644</vt:i4>
      </vt:variant>
      <vt:variant>
        <vt:i4>0</vt:i4>
      </vt:variant>
      <vt:variant>
        <vt:i4>0</vt:i4>
      </vt:variant>
      <vt:variant>
        <vt:i4>5</vt:i4>
      </vt:variant>
      <vt:variant>
        <vt:lpwstr>http://cs.wikipedia.org/wiki/Plyn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dc:creator>
  <cp:keywords/>
  <dc:description/>
  <cp:lastModifiedBy>Ondřej Dejmal</cp:lastModifiedBy>
  <cp:revision>3</cp:revision>
  <dcterms:created xsi:type="dcterms:W3CDTF">2020-04-06T08:11:00Z</dcterms:created>
  <dcterms:modified xsi:type="dcterms:W3CDTF">2020-04-06T08:11:00Z</dcterms:modified>
</cp:coreProperties>
</file>